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79" w:lineRule="exact"/>
        <w:ind w:firstLine="630"/>
        <w:jc w:val="center"/>
        <w:rPr>
          <w:rFonts w:ascii="方正小标宋简体" w:hAnsi="Calibri" w:eastAsia="方正小标宋简体"/>
          <w:b/>
          <w:sz w:val="40"/>
          <w:szCs w:val="44"/>
        </w:rPr>
      </w:pPr>
      <w:r>
        <w:rPr>
          <w:rFonts w:hint="eastAsia" w:ascii="方正小标宋简体" w:hAnsi="Calibri" w:eastAsia="方正小标宋简体"/>
          <w:b/>
          <w:sz w:val="40"/>
          <w:szCs w:val="44"/>
        </w:rPr>
        <w:t>选聘伊旗润景风电有限公司</w:t>
      </w:r>
    </w:p>
    <w:p>
      <w:pPr>
        <w:spacing w:line="579" w:lineRule="exact"/>
        <w:ind w:firstLine="630"/>
        <w:jc w:val="center"/>
        <w:rPr>
          <w:rFonts w:ascii="方正小标宋简体" w:hAnsi="Calibri" w:eastAsia="方正小标宋简体"/>
          <w:b/>
          <w:sz w:val="40"/>
          <w:szCs w:val="44"/>
        </w:rPr>
      </w:pPr>
      <w:r>
        <w:rPr>
          <w:rFonts w:hint="eastAsia" w:ascii="方正小标宋简体" w:hAnsi="Calibri" w:eastAsia="方正小标宋简体"/>
          <w:b/>
          <w:sz w:val="40"/>
          <w:szCs w:val="44"/>
        </w:rPr>
        <w:t>技术尽职调查中介机构比选工作方案</w:t>
      </w:r>
    </w:p>
    <w:p>
      <w:pPr>
        <w:spacing w:line="579" w:lineRule="exact"/>
        <w:ind w:firstLine="630"/>
        <w:jc w:val="center"/>
        <w:rPr>
          <w:rFonts w:ascii="宋体" w:hAnsi="宋体" w:cs="宋体"/>
          <w:b/>
          <w:bCs/>
          <w:sz w:val="44"/>
          <w:szCs w:val="44"/>
        </w:rPr>
      </w:pPr>
      <w:bookmarkStart w:id="0" w:name="_GoBack"/>
      <w:bookmarkEnd w:id="0"/>
    </w:p>
    <w:p>
      <w:pPr>
        <w:spacing w:line="579"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根据四川省投资集团有限责任公司印发的关于《中介机构选聘管理办法（试行）》（川投集发〔2020〕119号）中第四章第十六条规定，经初步咨询有关中介机构的报价区间，伊旗润景风电有限公司技术尽调工作接受预估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万以内报价，拟采用公开比选方式开展中介机构的选聘。</w:t>
      </w:r>
    </w:p>
    <w:p>
      <w:pPr>
        <w:spacing w:line="579"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一、项目概况</w:t>
      </w:r>
    </w:p>
    <w:p>
      <w:pPr>
        <w:pStyle w:val="3"/>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伊金霍洛旗润景新能源有限公司成立于2021年11月24日，注册地位于内蒙古自治区鄂尔多斯市伊金霍洛旗鄂尔多斯江苏工业园区管委会大楼105室，法定代表人为李威。经营范围包括发电业务、输电业务、供（配）电业务;供电业务;建设工程施工;风电场相关装备销售。该公司现拥有内蒙古伊旗2</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MW风电项目（正在施工预计年底并网）。</w:t>
      </w:r>
    </w:p>
    <w:p>
      <w:pPr>
        <w:pStyle w:val="4"/>
        <w:jc w:val="center"/>
        <w:rPr>
          <w:rFonts w:ascii="Times New Roman" w:hAnsi="Times New Roman" w:eastAsia="楷体"/>
          <w:sz w:val="28"/>
          <w:szCs w:val="28"/>
        </w:rPr>
      </w:pPr>
      <w:r>
        <w:drawing>
          <wp:inline distT="0" distB="0" distL="0" distR="0">
            <wp:extent cx="5274310" cy="16383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l="22285" t="14471" r="24992" b="32938"/>
                    <a:stretch>
                      <a:fillRect/>
                    </a:stretch>
                  </pic:blipFill>
                  <pic:spPr>
                    <a:xfrm>
                      <a:off x="0" y="0"/>
                      <a:ext cx="5274310" cy="1638300"/>
                    </a:xfrm>
                    <a:prstGeom prst="rect">
                      <a:avLst/>
                    </a:prstGeom>
                    <a:noFill/>
                    <a:ln>
                      <a:noFill/>
                    </a:ln>
                  </pic:spPr>
                </pic:pic>
              </a:graphicData>
            </a:graphic>
          </wp:inline>
        </w:drawing>
      </w:r>
    </w:p>
    <w:p>
      <w:pPr>
        <w:pStyle w:val="4"/>
        <w:jc w:val="center"/>
        <w:rPr>
          <w:rFonts w:ascii="Times New Roman" w:hAnsi="Times New Roman" w:eastAsia="楷体"/>
          <w:sz w:val="28"/>
          <w:szCs w:val="28"/>
        </w:rPr>
      </w:pPr>
      <w:r>
        <w:rPr>
          <w:rFonts w:ascii="Times New Roman" w:hAnsi="Times New Roman" w:eastAsia="楷体"/>
          <w:sz w:val="28"/>
          <w:szCs w:val="28"/>
        </w:rPr>
        <w:t>图表</w:t>
      </w:r>
      <w:r>
        <w:rPr>
          <w:rFonts w:ascii="Times New Roman" w:hAnsi="Times New Roman" w:eastAsia="楷体"/>
          <w:sz w:val="28"/>
          <w:szCs w:val="28"/>
        </w:rPr>
        <w:fldChar w:fldCharType="begin"/>
      </w:r>
      <w:r>
        <w:rPr>
          <w:rFonts w:ascii="Times New Roman" w:hAnsi="Times New Roman" w:eastAsia="楷体"/>
          <w:sz w:val="28"/>
          <w:szCs w:val="28"/>
        </w:rPr>
        <w:instrText xml:space="preserve"> SEQ 图表 \* ARABIC </w:instrText>
      </w:r>
      <w:r>
        <w:rPr>
          <w:rFonts w:ascii="Times New Roman" w:hAnsi="Times New Roman" w:eastAsia="楷体"/>
          <w:sz w:val="28"/>
          <w:szCs w:val="28"/>
        </w:rPr>
        <w:fldChar w:fldCharType="separate"/>
      </w:r>
      <w:r>
        <w:rPr>
          <w:rFonts w:ascii="Times New Roman" w:hAnsi="Times New Roman" w:eastAsia="楷体"/>
          <w:sz w:val="28"/>
          <w:szCs w:val="28"/>
        </w:rPr>
        <w:t>1</w:t>
      </w:r>
      <w:r>
        <w:rPr>
          <w:rFonts w:ascii="Times New Roman" w:hAnsi="Times New Roman" w:eastAsia="楷体"/>
          <w:sz w:val="28"/>
          <w:szCs w:val="28"/>
        </w:rPr>
        <w:fldChar w:fldCharType="end"/>
      </w:r>
      <w:r>
        <w:rPr>
          <w:rFonts w:ascii="Times New Roman" w:hAnsi="Times New Roman" w:eastAsia="楷体"/>
          <w:sz w:val="28"/>
          <w:szCs w:val="28"/>
        </w:rPr>
        <w:t xml:space="preserve"> 股权结构</w:t>
      </w:r>
    </w:p>
    <w:p>
      <w:pPr>
        <w:spacing w:line="579"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二、委托的主要工作内容</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标的公司实施的智慧综合能源200MW风电示范项目进行技术尽职调查，主要涵盖项目资料文件核查、风资源复核、系统总体方案设计复核、技术方案评估、施工质量评价、风电设备性能测试、电站各项性能评估、质量测试及风险分析及控制措施、总体评价等，并编制技术尽职调查报告。具体技术尽调工作内容要求详见附件1。</w:t>
      </w:r>
    </w:p>
    <w:p>
      <w:pPr>
        <w:spacing w:line="579" w:lineRule="exact"/>
        <w:ind w:firstLine="630"/>
        <w:outlineLvl w:val="0"/>
        <w:rPr>
          <w:rFonts w:ascii="黑体" w:hAnsi="黑体" w:eastAsia="黑体" w:cs="仿宋_GB2312"/>
          <w:b/>
          <w:bCs/>
          <w:sz w:val="32"/>
          <w:szCs w:val="32"/>
        </w:rPr>
      </w:pPr>
      <w:r>
        <w:rPr>
          <w:rFonts w:hint="eastAsia" w:ascii="黑体" w:hAnsi="黑体" w:eastAsia="黑体" w:cs="黑体"/>
          <w:sz w:val="32"/>
          <w:szCs w:val="32"/>
        </w:rPr>
        <w:t>三、</w:t>
      </w:r>
      <w:r>
        <w:rPr>
          <w:rFonts w:hint="eastAsia" w:ascii="黑体" w:hAnsi="黑体" w:eastAsia="黑体" w:cs="仿宋_GB2312"/>
          <w:b/>
          <w:bCs/>
          <w:sz w:val="32"/>
          <w:szCs w:val="32"/>
        </w:rPr>
        <w:t>最高限价</w:t>
      </w:r>
    </w:p>
    <w:p>
      <w:pPr>
        <w:spacing w:line="579"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技术尽职调查最高限价为</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万元。</w:t>
      </w:r>
    </w:p>
    <w:p>
      <w:pPr>
        <w:spacing w:line="579" w:lineRule="exact"/>
        <w:ind w:firstLine="630"/>
        <w:outlineLvl w:val="0"/>
        <w:rPr>
          <w:rFonts w:ascii="黑体" w:hAnsi="黑体" w:eastAsia="黑体" w:cs="仿宋_GB2312"/>
          <w:b/>
          <w:bCs/>
          <w:sz w:val="32"/>
          <w:szCs w:val="32"/>
        </w:rPr>
      </w:pPr>
      <w:r>
        <w:rPr>
          <w:rFonts w:hint="eastAsia" w:ascii="黑体" w:hAnsi="黑体" w:eastAsia="黑体" w:cs="仿宋_GB2312"/>
          <w:b/>
          <w:bCs/>
          <w:sz w:val="32"/>
          <w:szCs w:val="32"/>
        </w:rPr>
        <w:t>四、响应人资格要求</w:t>
      </w:r>
    </w:p>
    <w:p>
      <w:pPr>
        <w:spacing w:line="579" w:lineRule="exact"/>
        <w:ind w:firstLine="630"/>
        <w:rPr>
          <w:rFonts w:ascii="仿宋_GB2312" w:hAnsi="仿宋_GB2312" w:eastAsia="仿宋_GB2312" w:cs="仿宋_GB2312"/>
          <w:sz w:val="32"/>
          <w:szCs w:val="32"/>
        </w:rPr>
      </w:pPr>
      <w:r>
        <w:rPr>
          <w:rFonts w:hint="eastAsia" w:ascii="仿宋_GB2312" w:hAnsi="仿宋_GB2312" w:eastAsia="仿宋_GB2312" w:cs="仿宋_GB2312"/>
          <w:b/>
          <w:sz w:val="32"/>
          <w:szCs w:val="32"/>
        </w:rPr>
        <w:t>基本要求：</w:t>
      </w:r>
      <w:r>
        <w:rPr>
          <w:rFonts w:hint="eastAsia" w:ascii="仿宋_GB2312" w:hAnsi="仿宋_GB2312" w:eastAsia="仿宋_GB2312" w:cs="仿宋_GB2312"/>
          <w:sz w:val="32"/>
          <w:szCs w:val="32"/>
        </w:rPr>
        <w:t>依法设立，具有相应执业资质；合法经营、依法执业，遵守法律法规、职业道德和执业准则，有良好的社会信誉；按规定通过了有关部门的年度检验；近三年提供的中介服务未因重大执业质量等问题受到省国资委通报或受到行业协会严重处理。</w:t>
      </w:r>
    </w:p>
    <w:p>
      <w:pPr>
        <w:spacing w:line="579" w:lineRule="exact"/>
        <w:ind w:firstLine="630"/>
        <w:outlineLvl w:val="0"/>
        <w:rPr>
          <w:rFonts w:ascii="黑体" w:hAnsi="黑体" w:eastAsia="黑体" w:cs="仿宋_GB2312"/>
          <w:sz w:val="32"/>
          <w:szCs w:val="32"/>
        </w:rPr>
      </w:pPr>
      <w:r>
        <w:rPr>
          <w:rFonts w:hint="eastAsia" w:ascii="黑体" w:hAnsi="黑体" w:eastAsia="黑体" w:cs="仿宋_GB2312"/>
          <w:b/>
          <w:bCs/>
          <w:sz w:val="32"/>
          <w:szCs w:val="32"/>
        </w:rPr>
        <w:t>五、评审办法</w:t>
      </w:r>
    </w:p>
    <w:p>
      <w:pPr>
        <w:spacing w:line="579" w:lineRule="exact"/>
        <w:ind w:firstLine="630"/>
        <w:rPr>
          <w:rFonts w:ascii="仿宋_GB2312" w:hAnsi="仿宋_GB2312" w:eastAsia="仿宋_GB2312" w:cs="仿宋_GB2312"/>
          <w:sz w:val="32"/>
          <w:szCs w:val="32"/>
        </w:rPr>
      </w:pPr>
      <w:r>
        <w:rPr>
          <w:rFonts w:ascii="仿宋_GB2312" w:hAnsi="仿宋_GB2312" w:eastAsia="仿宋_GB2312" w:cs="仿宋_GB2312"/>
          <w:sz w:val="32"/>
          <w:szCs w:val="32"/>
        </w:rPr>
        <w:t>本次</w:t>
      </w:r>
      <w:r>
        <w:rPr>
          <w:rFonts w:hint="eastAsia" w:ascii="仿宋_GB2312" w:hAnsi="仿宋_GB2312" w:eastAsia="仿宋_GB2312" w:cs="仿宋_GB2312"/>
          <w:sz w:val="32"/>
          <w:szCs w:val="32"/>
        </w:rPr>
        <w:t>公开比选</w:t>
      </w:r>
      <w:r>
        <w:rPr>
          <w:rFonts w:ascii="仿宋_GB2312" w:hAnsi="仿宋_GB2312" w:eastAsia="仿宋_GB2312" w:cs="仿宋_GB2312"/>
          <w:sz w:val="32"/>
          <w:szCs w:val="32"/>
        </w:rPr>
        <w:t>采用综合评分法。以100分为满分，其中价格部分占</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0分，技术（业绩、团队及方案等）占60分。根据谈判及</w:t>
      </w:r>
      <w:r>
        <w:rPr>
          <w:rFonts w:hint="eastAsia" w:ascii="仿宋_GB2312" w:hAnsi="仿宋_GB2312" w:eastAsia="仿宋_GB2312" w:cs="仿宋_GB2312"/>
          <w:sz w:val="32"/>
          <w:szCs w:val="32"/>
        </w:rPr>
        <w:t>响应人</w:t>
      </w:r>
      <w:r>
        <w:rPr>
          <w:rFonts w:ascii="仿宋_GB2312" w:hAnsi="仿宋_GB2312" w:eastAsia="仿宋_GB2312" w:cs="仿宋_GB2312"/>
          <w:sz w:val="32"/>
          <w:szCs w:val="32"/>
        </w:rPr>
        <w:t>最后综合得分情况确定最终中选人。</w:t>
      </w:r>
      <w:r>
        <w:rPr>
          <w:rFonts w:hint="eastAsia" w:ascii="仿宋_GB2312" w:hAnsi="仿宋_GB2312" w:eastAsia="仿宋_GB2312" w:cs="仿宋_GB2312"/>
          <w:sz w:val="32"/>
          <w:szCs w:val="32"/>
        </w:rPr>
        <w:t>评分细则如下：</w:t>
      </w:r>
    </w:p>
    <w:p>
      <w:pPr>
        <w:spacing w:line="579"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rPr>
        <w:t xml:space="preserve">（一）、收费报价评分 </w:t>
      </w:r>
    </w:p>
    <w:p>
      <w:pPr>
        <w:spacing w:line="579"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1.设立基准评审价</w:t>
      </w:r>
    </w:p>
    <w:p>
      <w:pPr>
        <w:spacing w:line="579"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取全部报价人评审价格的平均值作为价格分计算的基准价。</w:t>
      </w:r>
    </w:p>
    <w:p>
      <w:pPr>
        <w:spacing w:line="579"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2.收费报价评分计算</w:t>
      </w:r>
    </w:p>
    <w:p>
      <w:pPr>
        <w:spacing w:line="579"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收费报价评分将基于评审价计算，基准评审价设为满分40分。报价每高于基准评审价1％，其价格评分将扣减0.5分，直至扣完为止。</w:t>
      </w:r>
    </w:p>
    <w:p>
      <w:pPr>
        <w:spacing w:line="579"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3.本次包干总价最高限价为人民币20万元，应邀中介机构包干报价不得超过最高限价。</w:t>
      </w:r>
    </w:p>
    <w:p>
      <w:pPr>
        <w:spacing w:line="579"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（二）、技术及商务部分</w:t>
      </w:r>
    </w:p>
    <w:tbl>
      <w:tblPr>
        <w:tblStyle w:val="7"/>
        <w:tblpPr w:leftFromText="180" w:rightFromText="180" w:vertAnchor="text" w:horzAnchor="page" w:tblpX="1472" w:tblpY="215"/>
        <w:tblOverlap w:val="never"/>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552"/>
        <w:gridCol w:w="626"/>
        <w:gridCol w:w="6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5" w:type="dxa"/>
            <w:vAlign w:val="center"/>
          </w:tcPr>
          <w:p>
            <w:pPr>
              <w:jc w:val="center"/>
              <w:rPr>
                <w:color w:val="000000"/>
                <w:szCs w:val="21"/>
              </w:rPr>
            </w:pPr>
            <w:r>
              <w:rPr>
                <w:color w:val="000000"/>
                <w:szCs w:val="21"/>
              </w:rPr>
              <w:t>序号</w:t>
            </w:r>
          </w:p>
        </w:tc>
        <w:tc>
          <w:tcPr>
            <w:tcW w:w="1552" w:type="dxa"/>
            <w:vAlign w:val="center"/>
          </w:tcPr>
          <w:p>
            <w:pPr>
              <w:jc w:val="center"/>
              <w:rPr>
                <w:color w:val="000000"/>
                <w:szCs w:val="21"/>
              </w:rPr>
            </w:pPr>
            <w:r>
              <w:rPr>
                <w:szCs w:val="21"/>
              </w:rPr>
              <w:t>评审因素</w:t>
            </w:r>
          </w:p>
        </w:tc>
        <w:tc>
          <w:tcPr>
            <w:tcW w:w="626" w:type="dxa"/>
            <w:vAlign w:val="center"/>
          </w:tcPr>
          <w:p>
            <w:pPr>
              <w:jc w:val="center"/>
              <w:rPr>
                <w:szCs w:val="21"/>
              </w:rPr>
            </w:pPr>
            <w:r>
              <w:rPr>
                <w:szCs w:val="21"/>
              </w:rPr>
              <w:t>分值</w:t>
            </w:r>
          </w:p>
        </w:tc>
        <w:tc>
          <w:tcPr>
            <w:tcW w:w="6497" w:type="dxa"/>
            <w:vAlign w:val="center"/>
          </w:tcPr>
          <w:p>
            <w:pPr>
              <w:jc w:val="center"/>
              <w:rPr>
                <w:color w:val="000000"/>
                <w:szCs w:val="21"/>
              </w:rPr>
            </w:pPr>
            <w:r>
              <w:rPr>
                <w:color w:val="00000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5" w:type="dxa"/>
            <w:vAlign w:val="center"/>
          </w:tcPr>
          <w:p>
            <w:pPr>
              <w:jc w:val="center"/>
              <w:rPr>
                <w:color w:val="000000"/>
                <w:szCs w:val="21"/>
              </w:rPr>
            </w:pPr>
          </w:p>
        </w:tc>
        <w:tc>
          <w:tcPr>
            <w:tcW w:w="1552" w:type="dxa"/>
            <w:vAlign w:val="center"/>
          </w:tcPr>
          <w:p>
            <w:pPr>
              <w:jc w:val="center"/>
              <w:rPr>
                <w:szCs w:val="21"/>
              </w:rPr>
            </w:pPr>
            <w:r>
              <w:rPr>
                <w:rFonts w:hint="eastAsia"/>
                <w:szCs w:val="21"/>
              </w:rPr>
              <w:t>业绩</w:t>
            </w:r>
          </w:p>
        </w:tc>
        <w:tc>
          <w:tcPr>
            <w:tcW w:w="626" w:type="dxa"/>
            <w:vAlign w:val="center"/>
          </w:tcPr>
          <w:p>
            <w:pPr>
              <w:jc w:val="center"/>
              <w:rPr>
                <w:szCs w:val="21"/>
              </w:rPr>
            </w:pPr>
            <w:r>
              <w:rPr>
                <w:rFonts w:hint="eastAsia"/>
                <w:szCs w:val="21"/>
              </w:rPr>
              <w:t>1</w:t>
            </w:r>
            <w:r>
              <w:rPr>
                <w:szCs w:val="21"/>
              </w:rPr>
              <w:t>0</w:t>
            </w:r>
          </w:p>
        </w:tc>
        <w:tc>
          <w:tcPr>
            <w:tcW w:w="6497" w:type="dxa"/>
            <w:vAlign w:val="center"/>
          </w:tcPr>
          <w:p>
            <w:pPr>
              <w:jc w:val="center"/>
              <w:rPr>
                <w:color w:val="000000"/>
                <w:szCs w:val="21"/>
              </w:rPr>
            </w:pPr>
            <w:r>
              <w:rPr>
                <w:rFonts w:hint="eastAsia"/>
                <w:color w:val="000000"/>
                <w:szCs w:val="21"/>
              </w:rPr>
              <w:t xml:space="preserve">中介机构执业经验 应邀中介机构 2019 年以来至少完成 5 个以上风电项目的技术尽职调查工作。若完成装机容量50MW以上风电项目技术尽职调查工作，每一个加1 分，最多不超过 10 分。（需提供业务约定书或报告等复印件作为证明材料，否则将不得分）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5" w:type="dxa"/>
            <w:vMerge w:val="restart"/>
            <w:vAlign w:val="center"/>
          </w:tcPr>
          <w:p>
            <w:pPr>
              <w:jc w:val="center"/>
              <w:rPr>
                <w:color w:val="000000"/>
                <w:szCs w:val="21"/>
              </w:rPr>
            </w:pPr>
            <w:r>
              <w:rPr>
                <w:color w:val="000000"/>
                <w:szCs w:val="21"/>
              </w:rPr>
              <w:t>1</w:t>
            </w:r>
          </w:p>
        </w:tc>
        <w:tc>
          <w:tcPr>
            <w:tcW w:w="1552" w:type="dxa"/>
            <w:vMerge w:val="restart"/>
            <w:vAlign w:val="center"/>
          </w:tcPr>
          <w:p>
            <w:pPr>
              <w:jc w:val="center"/>
              <w:rPr>
                <w:color w:val="000000"/>
                <w:szCs w:val="21"/>
              </w:rPr>
            </w:pPr>
            <w:r>
              <w:rPr>
                <w:color w:val="000000"/>
                <w:szCs w:val="21"/>
              </w:rPr>
              <w:t>人员配备</w:t>
            </w:r>
          </w:p>
        </w:tc>
        <w:tc>
          <w:tcPr>
            <w:tcW w:w="626" w:type="dxa"/>
            <w:vMerge w:val="restart"/>
            <w:vAlign w:val="center"/>
          </w:tcPr>
          <w:p>
            <w:pPr>
              <w:jc w:val="center"/>
              <w:rPr>
                <w:szCs w:val="21"/>
              </w:rPr>
            </w:pPr>
            <w:r>
              <w:rPr>
                <w:szCs w:val="21"/>
              </w:rPr>
              <w:t>10</w:t>
            </w:r>
          </w:p>
        </w:tc>
        <w:tc>
          <w:tcPr>
            <w:tcW w:w="6497" w:type="dxa"/>
            <w:vAlign w:val="center"/>
          </w:tcPr>
          <w:p>
            <w:pPr>
              <w:rPr>
                <w:color w:val="000000"/>
                <w:szCs w:val="21"/>
              </w:rPr>
            </w:pPr>
            <w:r>
              <w:rPr>
                <w:color w:val="000000"/>
                <w:szCs w:val="21"/>
              </w:rPr>
              <w:t>1）项目负责人具备5年技术尽调工作经验得0分，每多具备1年工作经验加1分，本项最高得5分。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5" w:type="dxa"/>
            <w:vMerge w:val="continue"/>
            <w:vAlign w:val="center"/>
          </w:tcPr>
          <w:p>
            <w:pPr>
              <w:jc w:val="center"/>
              <w:rPr>
                <w:color w:val="000000"/>
                <w:szCs w:val="21"/>
              </w:rPr>
            </w:pPr>
          </w:p>
        </w:tc>
        <w:tc>
          <w:tcPr>
            <w:tcW w:w="1552" w:type="dxa"/>
            <w:vMerge w:val="continue"/>
            <w:vAlign w:val="center"/>
          </w:tcPr>
          <w:p>
            <w:pPr>
              <w:jc w:val="center"/>
              <w:rPr>
                <w:color w:val="000000"/>
                <w:szCs w:val="21"/>
              </w:rPr>
            </w:pPr>
          </w:p>
        </w:tc>
        <w:tc>
          <w:tcPr>
            <w:tcW w:w="626" w:type="dxa"/>
            <w:vMerge w:val="continue"/>
            <w:vAlign w:val="center"/>
          </w:tcPr>
          <w:p>
            <w:pPr>
              <w:rPr>
                <w:szCs w:val="21"/>
              </w:rPr>
            </w:pPr>
          </w:p>
        </w:tc>
        <w:tc>
          <w:tcPr>
            <w:tcW w:w="6497" w:type="dxa"/>
            <w:vAlign w:val="center"/>
          </w:tcPr>
          <w:p>
            <w:pPr>
              <w:rPr>
                <w:color w:val="000000"/>
                <w:szCs w:val="21"/>
              </w:rPr>
            </w:pPr>
            <w:r>
              <w:rPr>
                <w:color w:val="000000"/>
                <w:szCs w:val="21"/>
              </w:rPr>
              <w:t>2）项目负责人牵头近三年负责过至少5个100MW容量及以上项目的经验的得1分，每多1个100MW项目经验加1分，</w:t>
            </w:r>
            <w:r>
              <w:rPr>
                <w:szCs w:val="21"/>
              </w:rPr>
              <w:t>本项最高得5分。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5" w:type="dxa"/>
            <w:vMerge w:val="continue"/>
            <w:vAlign w:val="center"/>
          </w:tcPr>
          <w:p>
            <w:pPr>
              <w:jc w:val="center"/>
              <w:rPr>
                <w:color w:val="000000"/>
                <w:szCs w:val="21"/>
              </w:rPr>
            </w:pPr>
          </w:p>
        </w:tc>
        <w:tc>
          <w:tcPr>
            <w:tcW w:w="1552" w:type="dxa"/>
            <w:vMerge w:val="continue"/>
            <w:vAlign w:val="center"/>
          </w:tcPr>
          <w:p>
            <w:pPr>
              <w:jc w:val="center"/>
              <w:rPr>
                <w:color w:val="000000"/>
                <w:szCs w:val="21"/>
              </w:rPr>
            </w:pPr>
          </w:p>
        </w:tc>
        <w:tc>
          <w:tcPr>
            <w:tcW w:w="626" w:type="dxa"/>
            <w:vMerge w:val="continue"/>
            <w:vAlign w:val="center"/>
          </w:tcPr>
          <w:p>
            <w:pPr>
              <w:rPr>
                <w:szCs w:val="21"/>
              </w:rPr>
            </w:pPr>
          </w:p>
        </w:tc>
        <w:tc>
          <w:tcPr>
            <w:tcW w:w="6497" w:type="dxa"/>
            <w:vAlign w:val="center"/>
          </w:tcPr>
          <w:p>
            <w:pPr>
              <w:rPr>
                <w:color w:val="000000"/>
                <w:szCs w:val="21"/>
              </w:rPr>
            </w:pPr>
            <w:r>
              <w:rPr>
                <w:color w:val="000000"/>
                <w:szCs w:val="21"/>
              </w:rPr>
              <w:t>3）项目团队人数3人得0分，每增加一人加1分，</w:t>
            </w:r>
            <w:r>
              <w:rPr>
                <w:szCs w:val="21"/>
              </w:rPr>
              <w:t>本项最高得5分</w:t>
            </w: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5" w:type="dxa"/>
            <w:vAlign w:val="center"/>
          </w:tcPr>
          <w:p>
            <w:pPr>
              <w:rPr>
                <w:color w:val="000000"/>
                <w:szCs w:val="21"/>
              </w:rPr>
            </w:pPr>
            <w:r>
              <w:rPr>
                <w:color w:val="000000"/>
                <w:szCs w:val="21"/>
              </w:rPr>
              <w:t>2</w:t>
            </w:r>
          </w:p>
        </w:tc>
        <w:tc>
          <w:tcPr>
            <w:tcW w:w="1552" w:type="dxa"/>
            <w:vAlign w:val="center"/>
          </w:tcPr>
          <w:p>
            <w:pPr>
              <w:jc w:val="left"/>
              <w:rPr>
                <w:color w:val="000000"/>
                <w:szCs w:val="21"/>
              </w:rPr>
            </w:pPr>
            <w:r>
              <w:rPr>
                <w:color w:val="000000"/>
                <w:szCs w:val="21"/>
              </w:rPr>
              <w:t>针对项目的评估优势（包括评估组织、评估方案及优化等方面）</w:t>
            </w:r>
          </w:p>
        </w:tc>
        <w:tc>
          <w:tcPr>
            <w:tcW w:w="626" w:type="dxa"/>
            <w:vAlign w:val="center"/>
          </w:tcPr>
          <w:p>
            <w:pPr>
              <w:jc w:val="center"/>
              <w:rPr>
                <w:szCs w:val="21"/>
              </w:rPr>
            </w:pPr>
            <w:r>
              <w:rPr>
                <w:szCs w:val="21"/>
              </w:rPr>
              <w:t>30</w:t>
            </w:r>
          </w:p>
        </w:tc>
        <w:tc>
          <w:tcPr>
            <w:tcW w:w="6497" w:type="dxa"/>
            <w:vAlign w:val="center"/>
          </w:tcPr>
          <w:p>
            <w:pPr>
              <w:rPr>
                <w:szCs w:val="21"/>
              </w:rPr>
            </w:pPr>
            <w:r>
              <w:rPr>
                <w:szCs w:val="21"/>
              </w:rPr>
              <w:t>针对项目的评估方案及优化等有明显优势(30-35分)；</w:t>
            </w:r>
          </w:p>
          <w:p>
            <w:pPr>
              <w:rPr>
                <w:szCs w:val="21"/>
              </w:rPr>
            </w:pPr>
            <w:r>
              <w:rPr>
                <w:szCs w:val="21"/>
              </w:rPr>
              <w:t>针对项目的评估方案及优化等有较大优势(20-30分）；</w:t>
            </w:r>
          </w:p>
          <w:p>
            <w:pPr>
              <w:rPr>
                <w:szCs w:val="21"/>
              </w:rPr>
            </w:pPr>
            <w:r>
              <w:rPr>
                <w:szCs w:val="21"/>
              </w:rPr>
              <w:t>针对项目的评估方案及优化等有一定优势(15-20分）</w:t>
            </w:r>
          </w:p>
          <w:p>
            <w:pPr>
              <w:rPr>
                <w:szCs w:val="21"/>
              </w:rPr>
            </w:pPr>
            <w:r>
              <w:rPr>
                <w:szCs w:val="21"/>
              </w:rPr>
              <w:t>针对项目的评估方案及优化等优势一般（10-15分）</w:t>
            </w:r>
          </w:p>
          <w:p>
            <w:pPr>
              <w:rPr>
                <w:szCs w:val="21"/>
              </w:rPr>
            </w:pPr>
            <w:r>
              <w:rPr>
                <w:szCs w:val="21"/>
              </w:rPr>
              <w:t>针对项目的评估方案及优化等无优势（0-9分）</w:t>
            </w:r>
          </w:p>
          <w:p>
            <w:pPr>
              <w:rPr>
                <w:color w:val="000000"/>
                <w:szCs w:val="21"/>
              </w:rPr>
            </w:pPr>
            <w:r>
              <w:rPr>
                <w:szCs w:val="21"/>
              </w:rPr>
              <w:t>无针对项目的评估方案及优化(0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5" w:type="dxa"/>
            <w:vAlign w:val="center"/>
          </w:tcPr>
          <w:p>
            <w:pPr>
              <w:jc w:val="center"/>
              <w:rPr>
                <w:color w:val="000000"/>
                <w:szCs w:val="21"/>
              </w:rPr>
            </w:pPr>
            <w:r>
              <w:rPr>
                <w:color w:val="000000"/>
                <w:szCs w:val="21"/>
              </w:rPr>
              <w:t>4</w:t>
            </w:r>
          </w:p>
        </w:tc>
        <w:tc>
          <w:tcPr>
            <w:tcW w:w="1552" w:type="dxa"/>
            <w:vAlign w:val="center"/>
          </w:tcPr>
          <w:p>
            <w:pPr>
              <w:jc w:val="center"/>
              <w:rPr>
                <w:color w:val="000000"/>
                <w:szCs w:val="21"/>
              </w:rPr>
            </w:pPr>
            <w:r>
              <w:rPr>
                <w:color w:val="000000"/>
                <w:szCs w:val="21"/>
              </w:rPr>
              <w:t>评估过程中安全、质量计划及保证措施</w:t>
            </w:r>
          </w:p>
        </w:tc>
        <w:tc>
          <w:tcPr>
            <w:tcW w:w="626" w:type="dxa"/>
            <w:vAlign w:val="center"/>
          </w:tcPr>
          <w:p>
            <w:pPr>
              <w:jc w:val="center"/>
              <w:rPr>
                <w:szCs w:val="21"/>
              </w:rPr>
            </w:pPr>
            <w:r>
              <w:rPr>
                <w:szCs w:val="21"/>
              </w:rPr>
              <w:t>5</w:t>
            </w:r>
          </w:p>
        </w:tc>
        <w:tc>
          <w:tcPr>
            <w:tcW w:w="6497" w:type="dxa"/>
            <w:vAlign w:val="center"/>
          </w:tcPr>
          <w:p>
            <w:pPr>
              <w:rPr>
                <w:color w:val="000000"/>
                <w:szCs w:val="21"/>
              </w:rPr>
            </w:pPr>
            <w:r>
              <w:rPr>
                <w:color w:val="000000"/>
                <w:szCs w:val="21"/>
              </w:rPr>
              <w:t>安全、质量、计划及保证措施合理有效(8-10分)；</w:t>
            </w:r>
          </w:p>
          <w:p>
            <w:pPr>
              <w:rPr>
                <w:color w:val="000000"/>
                <w:szCs w:val="21"/>
              </w:rPr>
            </w:pPr>
            <w:r>
              <w:rPr>
                <w:color w:val="000000"/>
                <w:szCs w:val="21"/>
              </w:rPr>
              <w:t>安全、质量、计划及保证措施基本满足需要(4-7分）；</w:t>
            </w:r>
          </w:p>
          <w:p>
            <w:pPr>
              <w:rPr>
                <w:color w:val="000000"/>
                <w:szCs w:val="21"/>
              </w:rPr>
            </w:pPr>
            <w:r>
              <w:rPr>
                <w:color w:val="000000"/>
                <w:szCs w:val="21"/>
              </w:rPr>
              <w:t>安全、质量、计划及保证措施简单(1-3分）</w:t>
            </w:r>
          </w:p>
          <w:p>
            <w:pPr>
              <w:rPr>
                <w:color w:val="000000"/>
                <w:szCs w:val="21"/>
              </w:rPr>
            </w:pPr>
            <w:r>
              <w:rPr>
                <w:color w:val="000000"/>
                <w:szCs w:val="21"/>
              </w:rPr>
              <w:t>无安全、质量计划及保证措施(0分)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5" w:type="dxa"/>
            <w:vAlign w:val="center"/>
          </w:tcPr>
          <w:p>
            <w:pPr>
              <w:jc w:val="center"/>
              <w:rPr>
                <w:color w:val="000000"/>
                <w:szCs w:val="21"/>
              </w:rPr>
            </w:pPr>
            <w:r>
              <w:rPr>
                <w:color w:val="000000"/>
                <w:szCs w:val="21"/>
              </w:rPr>
              <w:t>5</w:t>
            </w:r>
          </w:p>
        </w:tc>
        <w:tc>
          <w:tcPr>
            <w:tcW w:w="1552" w:type="dxa"/>
            <w:vAlign w:val="center"/>
          </w:tcPr>
          <w:p>
            <w:pPr>
              <w:jc w:val="center"/>
              <w:rPr>
                <w:color w:val="000000"/>
                <w:szCs w:val="21"/>
              </w:rPr>
            </w:pPr>
            <w:r>
              <w:rPr>
                <w:szCs w:val="21"/>
              </w:rPr>
              <w:t>进度保证措施</w:t>
            </w:r>
          </w:p>
        </w:tc>
        <w:tc>
          <w:tcPr>
            <w:tcW w:w="626" w:type="dxa"/>
            <w:vAlign w:val="center"/>
          </w:tcPr>
          <w:p>
            <w:pPr>
              <w:jc w:val="center"/>
              <w:rPr>
                <w:szCs w:val="21"/>
              </w:rPr>
            </w:pPr>
            <w:r>
              <w:rPr>
                <w:szCs w:val="21"/>
              </w:rPr>
              <w:t>5</w:t>
            </w:r>
          </w:p>
        </w:tc>
        <w:tc>
          <w:tcPr>
            <w:tcW w:w="6497" w:type="dxa"/>
            <w:vAlign w:val="center"/>
          </w:tcPr>
          <w:p>
            <w:pPr>
              <w:rPr>
                <w:szCs w:val="21"/>
              </w:rPr>
            </w:pPr>
            <w:r>
              <w:rPr>
                <w:szCs w:val="21"/>
              </w:rPr>
              <w:t>进度保证措施详尽有力6-10分；进度保证措施欠妥0-5分。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5" w:type="dxa"/>
          </w:tcPr>
          <w:p>
            <w:pPr>
              <w:jc w:val="center"/>
              <w:rPr>
                <w:color w:val="000000"/>
                <w:szCs w:val="21"/>
              </w:rPr>
            </w:pPr>
          </w:p>
        </w:tc>
        <w:tc>
          <w:tcPr>
            <w:tcW w:w="1552" w:type="dxa"/>
          </w:tcPr>
          <w:p>
            <w:pPr>
              <w:jc w:val="center"/>
              <w:rPr>
                <w:color w:val="000000"/>
                <w:szCs w:val="21"/>
              </w:rPr>
            </w:pPr>
          </w:p>
        </w:tc>
        <w:tc>
          <w:tcPr>
            <w:tcW w:w="626" w:type="dxa"/>
            <w:vAlign w:val="center"/>
          </w:tcPr>
          <w:p>
            <w:pPr>
              <w:jc w:val="center"/>
              <w:rPr>
                <w:szCs w:val="21"/>
              </w:rPr>
            </w:pPr>
            <w:r>
              <w:rPr>
                <w:szCs w:val="21"/>
              </w:rPr>
              <w:t>60</w:t>
            </w:r>
          </w:p>
        </w:tc>
        <w:tc>
          <w:tcPr>
            <w:tcW w:w="6497" w:type="dxa"/>
          </w:tcPr>
          <w:p>
            <w:pPr>
              <w:rPr>
                <w:szCs w:val="21"/>
              </w:rPr>
            </w:pPr>
          </w:p>
        </w:tc>
      </w:tr>
    </w:tbl>
    <w:p>
      <w:pPr>
        <w:spacing w:line="579" w:lineRule="exact"/>
        <w:ind w:firstLine="630"/>
        <w:outlineLvl w:val="0"/>
        <w:rPr>
          <w:rFonts w:ascii="黑体" w:hAnsi="黑体" w:eastAsia="黑体" w:cs="仿宋_GB2312"/>
          <w:sz w:val="32"/>
          <w:szCs w:val="32"/>
        </w:rPr>
      </w:pPr>
      <w:r>
        <w:rPr>
          <w:rFonts w:hint="eastAsia" w:ascii="黑体" w:hAnsi="黑体" w:eastAsia="黑体" w:cs="仿宋_GB2312"/>
          <w:b/>
          <w:bCs/>
          <w:sz w:val="32"/>
          <w:szCs w:val="32"/>
        </w:rPr>
        <w:t>六、评审小组及成员</w:t>
      </w:r>
    </w:p>
    <w:p>
      <w:pPr>
        <w:spacing w:line="579"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本次评审工作将设立临时评标小组，组长由开发部抽调人员，组员由财务部、综合部、投资部及法务参加。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66A"/>
    <w:rsid w:val="00071B7D"/>
    <w:rsid w:val="002913F7"/>
    <w:rsid w:val="00392B3D"/>
    <w:rsid w:val="003E1BBA"/>
    <w:rsid w:val="0069666A"/>
    <w:rsid w:val="006A618C"/>
    <w:rsid w:val="008522BE"/>
    <w:rsid w:val="00891A13"/>
    <w:rsid w:val="00AE3525"/>
    <w:rsid w:val="00D61574"/>
    <w:rsid w:val="00EF134E"/>
    <w:rsid w:val="00FE0DD1"/>
    <w:rsid w:val="22C65AA6"/>
    <w:rsid w:val="2C846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unhideWhenUsed/>
    <w:qFormat/>
    <w:uiPriority w:val="1"/>
    <w:pPr>
      <w:autoSpaceDE w:val="0"/>
      <w:autoSpaceDN w:val="0"/>
      <w:spacing w:before="214"/>
      <w:ind w:left="120"/>
      <w:jc w:val="left"/>
    </w:pPr>
    <w:rPr>
      <w:rFonts w:ascii="仿宋_GB2312" w:hAnsi="仿宋_GB2312" w:eastAsia="仿宋_GB2312" w:cs="仿宋_GB2312"/>
      <w:kern w:val="0"/>
      <w:sz w:val="32"/>
      <w:szCs w:val="32"/>
    </w:rPr>
  </w:style>
  <w:style w:type="paragraph" w:styleId="3">
    <w:name w:val="Normal Indent"/>
    <w:basedOn w:val="1"/>
    <w:unhideWhenUsed/>
    <w:qFormat/>
    <w:uiPriority w:val="99"/>
    <w:pPr>
      <w:ind w:firstLine="420"/>
    </w:pPr>
    <w:rPr>
      <w:szCs w:val="20"/>
    </w:rPr>
  </w:style>
  <w:style w:type="paragraph" w:styleId="4">
    <w:name w:val="caption"/>
    <w:basedOn w:val="1"/>
    <w:next w:val="1"/>
    <w:qFormat/>
    <w:uiPriority w:val="35"/>
    <w:rPr>
      <w:rFonts w:ascii="Cambria" w:hAnsi="Cambria" w:eastAsia="黑体"/>
      <w:sz w:val="20"/>
      <w:szCs w:val="20"/>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正文文本 字符"/>
    <w:basedOn w:val="8"/>
    <w:link w:val="2"/>
    <w:qFormat/>
    <w:uiPriority w:val="1"/>
    <w:rPr>
      <w:rFonts w:ascii="仿宋_GB2312" w:hAnsi="仿宋_GB2312" w:eastAsia="仿宋_GB2312" w:cs="仿宋_GB2312"/>
      <w:kern w:val="0"/>
      <w:sz w:val="32"/>
      <w:szCs w:val="32"/>
    </w:rPr>
  </w:style>
  <w:style w:type="character" w:customStyle="1" w:styleId="10">
    <w:name w:val="页眉 字符"/>
    <w:basedOn w:val="8"/>
    <w:link w:val="6"/>
    <w:qFormat/>
    <w:uiPriority w:val="99"/>
    <w:rPr>
      <w:rFonts w:ascii="Times New Roman" w:hAnsi="Times New Roman" w:eastAsia="宋体" w:cs="Times New Roman"/>
      <w:sz w:val="18"/>
      <w:szCs w:val="18"/>
    </w:rPr>
  </w:style>
  <w:style w:type="character" w:customStyle="1" w:styleId="11">
    <w:name w:val="页脚 字符"/>
    <w:basedOn w:val="8"/>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249</Words>
  <Characters>1425</Characters>
  <Lines>11</Lines>
  <Paragraphs>3</Paragraphs>
  <TotalTime>19</TotalTime>
  <ScaleCrop>false</ScaleCrop>
  <LinksUpToDate>false</LinksUpToDate>
  <CharactersWithSpaces>1671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2022-11-02T01:11:00Z</dcterms:created>
  <dc:creator>李 士麟</dc:creator>
  <cp:lastModifiedBy>陈文昊</cp:lastModifiedBy>
  <dcterms:modified xsi:type="dcterms:W3CDTF">2022-11-04T06:30:44Z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