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EAF" w:rsidRDefault="00000000">
      <w:pPr>
        <w:pStyle w:val="1"/>
        <w:numPr>
          <w:ilvl w:val="0"/>
          <w:numId w:val="0"/>
        </w:numPr>
        <w:spacing w:before="156" w:after="156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</w:rPr>
        <w:t>技术规范</w:t>
      </w:r>
    </w:p>
    <w:p w:rsidR="00B84EAF" w:rsidRDefault="00000000">
      <w:pPr>
        <w:pStyle w:val="1"/>
        <w:numPr>
          <w:ilvl w:val="0"/>
          <w:numId w:val="0"/>
        </w:numPr>
        <w:spacing w:before="156" w:after="156"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1 风</w:t>
      </w:r>
      <w:proofErr w:type="gramStart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电项目技术尽调</w:t>
      </w:r>
      <w:proofErr w:type="gramEnd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技术要求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本技术要求列明了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技术尽调的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基本要求，包括应遵循的基本程序、方式方法、内容和要求。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技术尽调应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坚持科学严谨、实事求是的原则，严格遵循有关规范、标准和规程，客观真实地调查、核实、评估风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电项目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行政许可合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性、安全环保风险和隐患、风资源情况、运行状况、设备质量和健康状况、性能指标、运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维能力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等情况。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项目基本情况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调查项目的投运时间、地理位置，项目占地区域的坐标，占地面积，项目容量，机组数量、型号、厂家信息，项目周边的环境，交通道路等情况。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项目风资源与发电量评估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收集风电场的测风数据、测风塔安装报告等相关资料等，对测风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塔现场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位置进行踏勘，对测风塔与测风数据的匹配性、真实性等内容进行评估、判断。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根据收集到的测风数据对风资源进行评估，主要评估测风数据的时长、完整性、有效性；评估风向、风能、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风频等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内容，绘制场区范围内资源图谱，并进行大小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风年订正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根据项目所选机型评估发电能力，计算各个机组满发小时数。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工程建设核查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承担本工程的勘察设计的单位具有相应的资质。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设计图纸，施工图纸，变更文件等文件签章齐全并已完整归档。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承担本工程的施工单位具有相应资质。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主要施工记录，验收记录，实验记录，原材料合格证、报告齐全，并已完整归档。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承担本工程的简历单位具有相应资质。</w:t>
      </w:r>
    </w:p>
    <w:p w:rsidR="00B84EAF" w:rsidRDefault="00000000">
      <w:pPr>
        <w:pStyle w:val="a3"/>
        <w:spacing w:after="15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工程建设监理合同规范、清晰、责权明确。项目监理机构健全，专业人员配备合理，满足工程监理工作需要；各级监理人员资格证书齐全，其资质与所承担监理项目相符。监理验收文件签章齐全，并已完整归档。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风力发电机组</w:t>
      </w:r>
    </w:p>
    <w:p w:rsidR="00B84EAF" w:rsidRDefault="00000000">
      <w:pPr>
        <w:pStyle w:val="3"/>
        <w:spacing w:after="156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风力发电机组型式认证检查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评估风力发电机组整机型式认证情况，包括：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识别发证机构；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识别发证机构的资格；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时间有效性；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认证范围是否为常规的认证范围；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认证标准是否为常规的标准；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认证过程的相关符合性声明；</w:t>
      </w:r>
    </w:p>
    <w:p w:rsidR="00B84EAF" w:rsidRDefault="00000000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机组技术协议中的零部件与机组型式认证证书中的零部件比对。</w:t>
      </w:r>
    </w:p>
    <w:p w:rsidR="00B84EAF" w:rsidRDefault="00000000">
      <w:pPr>
        <w:pStyle w:val="3"/>
        <w:spacing w:after="156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风力发电机组质量文件检查</w:t>
      </w:r>
    </w:p>
    <w:p w:rsidR="00B84EAF" w:rsidRDefault="00000000">
      <w:pPr>
        <w:spacing w:after="15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风力发电机组质量文件完整性检查</w:t>
      </w:r>
    </w:p>
    <w:p w:rsidR="00B84EAF" w:rsidRDefault="00000000">
      <w:pPr>
        <w:pStyle w:val="a4"/>
        <w:numPr>
          <w:ilvl w:val="0"/>
          <w:numId w:val="3"/>
        </w:numPr>
        <w:spacing w:after="156"/>
        <w:ind w:left="1134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风力发电机组合格证</w:t>
      </w:r>
    </w:p>
    <w:p w:rsidR="00B84EAF" w:rsidRDefault="00000000">
      <w:pPr>
        <w:pStyle w:val="a4"/>
        <w:numPr>
          <w:ilvl w:val="0"/>
          <w:numId w:val="3"/>
        </w:numPr>
        <w:spacing w:after="156"/>
        <w:ind w:left="1134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塔筒合格证</w:t>
      </w:r>
    </w:p>
    <w:p w:rsidR="00B84EAF" w:rsidRDefault="00000000">
      <w:pPr>
        <w:pStyle w:val="a4"/>
        <w:numPr>
          <w:ilvl w:val="0"/>
          <w:numId w:val="3"/>
        </w:numPr>
        <w:spacing w:after="156"/>
        <w:ind w:left="1134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基础施工竣工验收资料</w:t>
      </w:r>
    </w:p>
    <w:p w:rsidR="00B84EAF" w:rsidRDefault="00000000">
      <w:pPr>
        <w:pStyle w:val="a4"/>
        <w:numPr>
          <w:ilvl w:val="0"/>
          <w:numId w:val="3"/>
        </w:numPr>
        <w:spacing w:after="156"/>
        <w:ind w:left="1134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安装工程竣工验收资料</w:t>
      </w:r>
    </w:p>
    <w:p w:rsidR="00B84EAF" w:rsidRDefault="00000000">
      <w:pPr>
        <w:pStyle w:val="a4"/>
        <w:numPr>
          <w:ilvl w:val="0"/>
          <w:numId w:val="3"/>
        </w:numPr>
        <w:spacing w:after="156"/>
        <w:ind w:left="1134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风力发电机组调试、试运行报告</w:t>
      </w:r>
    </w:p>
    <w:p w:rsidR="00B84EAF" w:rsidRDefault="00000000">
      <w:pPr>
        <w:pStyle w:val="3"/>
        <w:spacing w:after="156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风力发电机机组检查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风电机组检测内容如下，风机抽检数量为风电场风机总数的10%及以上，如风电场风机总数的10%及以上不是整数，则向上舍入。</w:t>
      </w:r>
    </w:p>
    <w:tbl>
      <w:tblPr>
        <w:tblW w:w="11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34"/>
        <w:gridCol w:w="3206"/>
        <w:gridCol w:w="1017"/>
        <w:gridCol w:w="10"/>
        <w:gridCol w:w="6086"/>
        <w:gridCol w:w="10"/>
      </w:tblGrid>
      <w:tr w:rsidR="00B84EAF">
        <w:trPr>
          <w:trHeight w:val="452"/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检查项目（内容）</w:t>
            </w:r>
          </w:p>
        </w:tc>
        <w:tc>
          <w:tcPr>
            <w:tcW w:w="1027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抽检数量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标准要求、参数</w:t>
            </w:r>
          </w:p>
        </w:tc>
      </w:tr>
      <w:tr w:rsidR="00B84EAF">
        <w:trPr>
          <w:trHeight w:val="527"/>
          <w:jc w:val="center"/>
        </w:trPr>
        <w:tc>
          <w:tcPr>
            <w:tcW w:w="834" w:type="dxa"/>
            <w:vMerge w:val="restart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叶片表面、叶尖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检查无积垢、碎片、腐蚀、裂纹现象，扫风时无异响</w:t>
            </w:r>
          </w:p>
        </w:tc>
      </w:tr>
      <w:tr w:rsidR="00B84EAF">
        <w:trPr>
          <w:trHeight w:val="527"/>
          <w:jc w:val="center"/>
        </w:trPr>
        <w:tc>
          <w:tcPr>
            <w:tcW w:w="834" w:type="dxa"/>
            <w:vMerge/>
            <w:vAlign w:val="center"/>
          </w:tcPr>
          <w:p w:rsidR="00B84EAF" w:rsidRDefault="00B84EAF">
            <w:pPr>
              <w:spacing w:after="156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B84EAF" w:rsidRDefault="00B84EAF">
            <w:pPr>
              <w:spacing w:after="156"/>
              <w:rPr>
                <w:rFonts w:ascii="宋体" w:hAnsi="宋体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B84EAF" w:rsidRDefault="00B84EAF">
            <w:pPr>
              <w:spacing w:after="156"/>
              <w:jc w:val="center"/>
              <w:rPr>
                <w:rFonts w:ascii="宋体" w:hAnsi="宋体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B84EAF" w:rsidRDefault="00B84EAF">
            <w:pPr>
              <w:spacing w:after="156"/>
              <w:rPr>
                <w:rFonts w:ascii="宋体" w:hAnsi="宋体"/>
              </w:rPr>
            </w:pPr>
          </w:p>
        </w:tc>
      </w:tr>
      <w:tr w:rsidR="00B84EAF">
        <w:trPr>
          <w:trHeight w:val="527"/>
          <w:jc w:val="center"/>
        </w:trPr>
        <w:tc>
          <w:tcPr>
            <w:tcW w:w="834" w:type="dxa"/>
            <w:vMerge/>
            <w:vAlign w:val="center"/>
          </w:tcPr>
          <w:p w:rsidR="00B84EAF" w:rsidRDefault="00B84EAF">
            <w:pPr>
              <w:spacing w:after="156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B84EAF" w:rsidRDefault="00B84EAF">
            <w:pPr>
              <w:spacing w:after="156"/>
              <w:rPr>
                <w:rFonts w:ascii="宋体" w:hAnsi="宋体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B84EAF" w:rsidRDefault="00B84EAF">
            <w:pPr>
              <w:spacing w:after="156"/>
              <w:jc w:val="center"/>
              <w:rPr>
                <w:rFonts w:ascii="宋体" w:hAnsi="宋体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B84EAF" w:rsidRDefault="00B84EAF">
            <w:pPr>
              <w:spacing w:after="156"/>
              <w:rPr>
                <w:rFonts w:ascii="宋体" w:hAnsi="宋体"/>
              </w:rPr>
            </w:pP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雷电接收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无污物、附着物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引雷线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无断裂和腐蚀现象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</w:t>
            </w:r>
          </w:p>
        </w:tc>
        <w:tc>
          <w:tcPr>
            <w:tcW w:w="1027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叶片螺栓无松动断裂</w:t>
            </w:r>
          </w:p>
        </w:tc>
      </w:tr>
      <w:tr w:rsidR="00B84EAF">
        <w:trPr>
          <w:trHeight w:val="90"/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内外部清洁情况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密封严密，无油迹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6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变桨齿轮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表面清洁、无裂痕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传动装置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表面清洁、无裂纹、无污染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螺栓与轮毂连接情况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无松动、断裂现象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轴承润滑、轴承密封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油位正常（</w:t>
            </w:r>
            <w:proofErr w:type="gramStart"/>
            <w:r>
              <w:rPr>
                <w:rFonts w:ascii="宋体" w:hAnsi="宋体" w:hint="eastAsia"/>
              </w:rPr>
              <w:t>泵时间</w:t>
            </w:r>
            <w:proofErr w:type="gramEnd"/>
            <w:r>
              <w:rPr>
                <w:rFonts w:ascii="宋体" w:hAnsi="宋体" w:hint="eastAsia"/>
              </w:rPr>
              <w:t>设置），润滑、密封良好，润滑注油小齿是否正常，润滑系统油泵、管路、分配器是否堵塞，泄露的油脂是否清理，固定是否牢靠。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齿面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齿圈均衡，润滑良好，无异物附着。</w:t>
            </w:r>
          </w:p>
        </w:tc>
      </w:tr>
      <w:tr w:rsidR="00B84EAF">
        <w:trPr>
          <w:trHeight w:val="285"/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变桨控制柜的表面情况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无油迹污染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变桨控制柜内继电器、开关等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继电器、开关增加无松动，接线牢固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</w:t>
            </w:r>
            <w:proofErr w:type="gramStart"/>
            <w:r>
              <w:rPr>
                <w:rFonts w:ascii="宋体" w:hAnsi="宋体" w:hint="eastAsia"/>
              </w:rPr>
              <w:t>桨控制</w:t>
            </w:r>
            <w:proofErr w:type="gramEnd"/>
            <w:r>
              <w:rPr>
                <w:rFonts w:ascii="宋体" w:hAnsi="宋体" w:hint="eastAsia"/>
              </w:rPr>
              <w:t>齿轮箱油位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油位正常</w:t>
            </w:r>
          </w:p>
        </w:tc>
      </w:tr>
      <w:tr w:rsidR="00B84EAF">
        <w:trPr>
          <w:trHeight w:val="90"/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蓄电池柜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变桨电池柜检查（内部清洁、外观、电池出厂时间、电池电压、接线牢固、充电回路正常、加热系统工作正常）</w:t>
            </w:r>
          </w:p>
        </w:tc>
      </w:tr>
      <w:tr w:rsidR="00B84EAF">
        <w:trPr>
          <w:jc w:val="center"/>
        </w:trPr>
        <w:tc>
          <w:tcPr>
            <w:tcW w:w="834" w:type="dxa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3240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软件版本检查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系统核对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轮毂表面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无腐蚀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变桨齿轮箱与轮毂的连接螺栓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</w:t>
            </w:r>
            <w:r>
              <w:rPr>
                <w:rFonts w:ascii="宋体" w:hAnsi="宋体" w:hint="eastAsia"/>
              </w:rPr>
              <w:lastRenderedPageBreak/>
              <w:t>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无松动、脱落现象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轮毂与主轴的连接螺栓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无松动、脱落现象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轮毂零部件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导流罩与轮毂</w:t>
            </w:r>
            <w:proofErr w:type="gramEnd"/>
            <w:r>
              <w:rPr>
                <w:rFonts w:ascii="宋体" w:hAnsi="宋体" w:hint="eastAsia"/>
              </w:rPr>
              <w:t>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导流罩与导流</w:t>
            </w:r>
            <w:proofErr w:type="gramEnd"/>
            <w:r>
              <w:rPr>
                <w:rFonts w:ascii="宋体" w:hAnsi="宋体" w:hint="eastAsia"/>
              </w:rPr>
              <w:t>角支架、角支架的连接螺栓（上风向）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导流罩本体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无裂纹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定位销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能够正常使用，无卡</w:t>
            </w:r>
            <w:proofErr w:type="gramStart"/>
            <w:r>
              <w:rPr>
                <w:rFonts w:ascii="宋体" w:hAnsi="宋体" w:hint="eastAsia"/>
              </w:rPr>
              <w:t>涩现象</w:t>
            </w:r>
            <w:proofErr w:type="gramEnd"/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主轴润滑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油位正常，润滑、密封良好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油管及接头检查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无漏油现象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主轴及主轴承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无磨损、腐蚀现象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主轴承温度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 w:hint="eastAsia"/>
              </w:rPr>
              <w:t>50</w:t>
            </w:r>
            <w:r>
              <w:rPr>
                <w:rFonts w:ascii="宋体" w:hAnsi="宋体" w:hint="eastAsia"/>
              </w:rPr>
              <w:t>℃（</w:t>
            </w:r>
            <w:r>
              <w:rPr>
                <w:rFonts w:ascii="宋体" w:hAnsi="宋体" w:hint="eastAsia"/>
              </w:rPr>
              <w:t>FD93H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轴承两端轴封润滑情况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润滑、密封良好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转速传感器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</w:t>
            </w:r>
            <w:r>
              <w:rPr>
                <w:rFonts w:ascii="宋体" w:hAnsi="宋体" w:hint="eastAsia"/>
              </w:rPr>
              <w:lastRenderedPageBreak/>
              <w:t>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接线无松动、断线现象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避雷碳刷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磨损情况在正常范围内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轴承座与机架的连接螺栓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无松动、脱落现象</w:t>
            </w:r>
          </w:p>
        </w:tc>
      </w:tr>
      <w:tr w:rsidR="00B84EAF">
        <w:trPr>
          <w:trHeight w:val="70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齿轮箱运转情况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无异响、异常震动情况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齿轮箱润滑油油位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通过油位计检查润滑油油位正常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齿轮箱润滑油油温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通过红外测温</w:t>
            </w:r>
            <w:proofErr w:type="gramStart"/>
            <w:r>
              <w:rPr>
                <w:rFonts w:ascii="宋体" w:hAnsi="宋体" w:hint="eastAsia"/>
              </w:rPr>
              <w:t>枪检查</w:t>
            </w:r>
            <w:proofErr w:type="gramEnd"/>
            <w:r>
              <w:rPr>
                <w:rFonts w:ascii="宋体" w:hAnsi="宋体" w:hint="eastAsia"/>
              </w:rPr>
              <w:t>润滑油油</w:t>
            </w:r>
            <w:proofErr w:type="gramStart"/>
            <w:r>
              <w:rPr>
                <w:rFonts w:ascii="宋体" w:hAnsi="宋体" w:hint="eastAsia"/>
              </w:rPr>
              <w:t>温正常</w:t>
            </w:r>
            <w:proofErr w:type="gramEnd"/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齿轮箱润滑油油色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油色正常，油质符合要求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齿轮箱润滑油油压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通过压力标记检查润滑油油压正常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各油管及箱体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各油管及箱体无漏油现象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油冷却器及油泵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系统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油冷却器、油泵系统无泄漏现象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接线盒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接线盒内的接线无松动现象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转速传感器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接线无松动断线现象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41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弹性支撑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螺栓无松动、脱落现象，弹性体无滑移、脱落现象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齿轮箱支座弹性支撑垫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齿轮箱支座弹性</w:t>
            </w:r>
            <w:proofErr w:type="gramStart"/>
            <w:r>
              <w:rPr>
                <w:rFonts w:ascii="宋体" w:hAnsi="宋体" w:hint="eastAsia"/>
              </w:rPr>
              <w:t>支撑垫应无</w:t>
            </w:r>
            <w:proofErr w:type="gramEnd"/>
            <w:r>
              <w:rPr>
                <w:rFonts w:ascii="宋体" w:hAnsi="宋体" w:hint="eastAsia"/>
              </w:rPr>
              <w:t>老化现象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齿轮箱入口处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标准值为：</w:t>
            </w:r>
            <w:r>
              <w:rPr>
                <w:rFonts w:ascii="宋体" w:hAnsi="宋体"/>
              </w:rPr>
              <w:t>0.5-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/>
              </w:rPr>
              <w:t>bar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压力值：</w:t>
            </w:r>
            <w:r>
              <w:rPr>
                <w:rFonts w:ascii="宋体" w:hAnsi="宋体"/>
              </w:rPr>
              <w:t>0.5-16bar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油冷风扇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接通油冷却风扇的接触器让其运转进行检查</w:t>
            </w:r>
          </w:p>
        </w:tc>
      </w:tr>
      <w:tr w:rsidR="00B84EAF">
        <w:trPr>
          <w:trHeight w:val="90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电加热器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接通电加热器的接触器让其运转进行检查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主轴与齿轮箱的连接螺栓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螺栓无松动、脱落现象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齿轮箱接地线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安装牢固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滑环内部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无污物，接触良好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滑环轴承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轴承无卡涩、滚珠脱落现象，保持架完好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滑环插座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接触良好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拉杆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无损坏、变形现象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刹车片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刹车片厚度及其表面有无裂痕，刹车盘间隙是否正常。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间隙为：</w:t>
            </w:r>
            <w:r>
              <w:rPr>
                <w:rFonts w:ascii="宋体" w:hAnsi="宋体" w:hint="eastAsia"/>
              </w:rPr>
              <w:t>2-5mm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刹车片厚度：≥</w:t>
            </w:r>
            <w:r>
              <w:rPr>
                <w:rFonts w:ascii="宋体" w:hAnsi="宋体" w:hint="eastAsia"/>
              </w:rPr>
              <w:t>5mm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刹车盘表面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清洁，无油、油脂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刹车卡钳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无泄漏情况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刹车器螺栓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刹车磨损传感器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无松动、断线现象；刹车反馈及刹车磨损信号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有无短接注：齿轮箱接线盒里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号线，主动式刹车磨损信号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可以短接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齿轮箱与刹车器的连接螺栓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液压连接软管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无泄漏或磨损现象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联轴器缸体，联轴器缸体靠近发电机侧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缸体有无开裂、错位、发黄变色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弹性膜片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是否有变形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发电机运转情况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无异响、异常震动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接线盒、端子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清洁接触面、检查紧固端子，雷电保护工作是否正常，雷电保护接触器是否触发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64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转速传感器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无松动、断线现象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冷却风扇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观察发电机冷风扇的接运转情况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发电机冷却系统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滤网、通道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滤网清洁、通道完好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发电机碳刷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碳刷的接触及磨损情况良好，碳粉排管是否通畅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发电机与弹性支撑的连接螺栓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弹性支撑和</w:t>
            </w:r>
            <w:proofErr w:type="gramStart"/>
            <w:r>
              <w:rPr>
                <w:rFonts w:ascii="宋体" w:hAnsi="宋体" w:hint="eastAsia"/>
              </w:rPr>
              <w:t>基架</w:t>
            </w:r>
            <w:proofErr w:type="gramEnd"/>
            <w:r>
              <w:rPr>
                <w:rFonts w:ascii="宋体" w:hAnsi="宋体" w:hint="eastAsia"/>
              </w:rPr>
              <w:t>的连接螺栓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发电机接地碳刷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接触良好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发电机定子温度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 w:hint="eastAsia"/>
              </w:rPr>
              <w:t>130</w:t>
            </w:r>
            <w:r>
              <w:rPr>
                <w:rFonts w:ascii="宋体" w:hAnsi="宋体" w:hint="eastAsia"/>
              </w:rPr>
              <w:t>℃（</w:t>
            </w:r>
            <w:r>
              <w:rPr>
                <w:rFonts w:ascii="宋体" w:hAnsi="宋体" w:hint="eastAsia"/>
              </w:rPr>
              <w:t>FD93H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发电机前后轴承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温度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 w:hint="eastAsia"/>
              </w:rPr>
              <w:t>℃（</w:t>
            </w:r>
            <w:r>
              <w:rPr>
                <w:rFonts w:ascii="宋体" w:hAnsi="宋体" w:hint="eastAsia"/>
              </w:rPr>
              <w:t>FD93H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发电机定转子电缆接头温度测量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接触良好，无过热现象</w:t>
            </w:r>
          </w:p>
        </w:tc>
      </w:tr>
      <w:tr w:rsidR="00B84EAF">
        <w:trPr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发电机前后端轴承</w:t>
            </w:r>
          </w:p>
        </w:tc>
        <w:tc>
          <w:tcPr>
            <w:tcW w:w="1027" w:type="dxa"/>
            <w:gridSpan w:val="2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端盖螺栓无松动现象、润滑油泵是否正常工作，管路是否堵塞、泄露，系统时间设置是否准确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气象架架体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</w:t>
            </w:r>
            <w:r>
              <w:rPr>
                <w:rFonts w:ascii="宋体" w:hAnsi="宋体" w:hint="eastAsia"/>
              </w:rPr>
              <w:lastRenderedPageBreak/>
              <w:t>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无断裂、开焊现象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超声波风速、风向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外观无破损、固定螺栓无松动、加热器工作正常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风速计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无破损、松动、卡涩现象，表面无异物，加热器工作正常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吊车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通电后吊车运转正常，无异响</w:t>
            </w:r>
          </w:p>
        </w:tc>
      </w:tr>
      <w:tr w:rsidR="00B84EAF">
        <w:trPr>
          <w:gridAfter w:val="1"/>
          <w:wAfter w:w="10" w:type="dxa"/>
          <w:trHeight w:val="236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接线端子、模块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无松动、断线现象</w:t>
            </w:r>
          </w:p>
        </w:tc>
      </w:tr>
      <w:tr w:rsidR="00B84EAF">
        <w:trPr>
          <w:gridAfter w:val="1"/>
          <w:wAfter w:w="10" w:type="dxa"/>
          <w:trHeight w:val="90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继电器外观、盖子、触头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各继电器铭牌清楚、盖子完好、无裂痕，玻璃无损坏。触头位置正确，无抖动、烧毛、拉弧现象。</w:t>
            </w:r>
          </w:p>
        </w:tc>
      </w:tr>
      <w:tr w:rsidR="00B84EAF">
        <w:trPr>
          <w:gridAfter w:val="1"/>
          <w:wAfter w:w="10" w:type="dxa"/>
          <w:trHeight w:val="90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变压器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运行无异常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照明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照明正常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显示屏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显示正常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软件版本检查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系统查看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加热器工作情况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检查：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手动测试运行是否正常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自动测试运行是否正常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偏航制动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</w:t>
            </w:r>
            <w:r>
              <w:rPr>
                <w:rFonts w:ascii="宋体" w:hAnsi="宋体" w:hint="eastAsia"/>
              </w:rPr>
              <w:lastRenderedPageBreak/>
              <w:t>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压力值：</w:t>
            </w:r>
            <w:r>
              <w:rPr>
                <w:rFonts w:ascii="宋体" w:hAnsi="宋体"/>
              </w:rPr>
              <w:t>140-160bar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主轴制动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压力值：</w:t>
            </w:r>
            <w:r>
              <w:rPr>
                <w:rFonts w:ascii="宋体" w:hAnsi="宋体"/>
              </w:rPr>
              <w:t>140-160bar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液压油位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油位正常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油位传感器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接线无松动、断线现象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滤芯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内部无杂物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软管、油管和管接头漏油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软管、油管和管接头无漏油现象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蓄能器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压力正常、无泄漏现象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刹车盘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刹车盘无油脂</w:t>
            </w:r>
            <w:proofErr w:type="gramEnd"/>
            <w:r>
              <w:rPr>
                <w:rFonts w:ascii="宋体" w:hAnsi="宋体" w:hint="eastAsia"/>
              </w:rPr>
              <w:t>或油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刹车片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刹车片磨损情况应：＜</w:t>
            </w:r>
            <w:r>
              <w:rPr>
                <w:rFonts w:ascii="宋体" w:hAnsi="宋体"/>
              </w:rPr>
              <w:t>16mm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刹车器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无漏油现象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偏航制动系统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制动系统工作正常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偏航刹车与机架的连接螺栓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偏航轴承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</w:t>
            </w:r>
            <w:r>
              <w:rPr>
                <w:rFonts w:ascii="宋体" w:hAnsi="宋体" w:hint="eastAsia"/>
              </w:rPr>
              <w:lastRenderedPageBreak/>
              <w:t>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密封严密，无油迹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偏航齿圈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齿圈均衡，润滑良好，无异物附着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偏航齿轮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无裂痕、润滑良好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偏航轴承与基架的连接螺栓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螺栓无松动、脱落现象。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接地线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接触良好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偏航齿轮箱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无漏油现象，油色、油位正常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偏航电机传感器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接线无松动、断线现象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偏航齿轮箱与机架的连接螺栓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螺栓无松动、脱落现象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显示屏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）显示屏工作正常，未发通讯故障信号，画面清晰，无死机现象，触摸画面，画面切换正常；</w:t>
            </w:r>
          </w:p>
          <w:p w:rsidR="00B84EAF" w:rsidRDefault="00000000">
            <w:pPr>
              <w:spacing w:after="156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）画面数据及状态显示正常，主画面系统图与当前运行状态相符，数据相符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通讯模块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交换机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5+1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</w:pPr>
            <w:r>
              <w:rPr>
                <w:rFonts w:ascii="宋体" w:hAnsi="宋体" w:hint="eastAsia"/>
              </w:rPr>
              <w:t>检查源正常，收发信号灯正常（</w:t>
            </w:r>
            <w:proofErr w:type="spellStart"/>
            <w:r>
              <w:rPr>
                <w:rFonts w:ascii="宋体" w:hAnsi="宋体"/>
              </w:rPr>
              <w:t>LinK</w:t>
            </w:r>
            <w:proofErr w:type="spellEnd"/>
            <w:r>
              <w:rPr>
                <w:rFonts w:ascii="宋体" w:hAnsi="宋体" w:hint="eastAsia"/>
              </w:rPr>
              <w:t>灯亮、</w:t>
            </w:r>
            <w:r>
              <w:rPr>
                <w:rFonts w:ascii="宋体" w:hAnsi="宋体"/>
              </w:rPr>
              <w:t>PWR</w:t>
            </w:r>
            <w:r>
              <w:rPr>
                <w:rFonts w:ascii="宋体" w:hAnsi="宋体" w:hint="eastAsia"/>
              </w:rPr>
              <w:t>灯闪烁）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UPS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5+1</w:t>
            </w:r>
          </w:p>
          <w:p w:rsidR="00B84EAF" w:rsidRDefault="00B84EAF">
            <w:pPr>
              <w:spacing w:after="156"/>
              <w:rPr>
                <w:rFonts w:ascii="宋体" w:hAnsi="宋体"/>
              </w:rPr>
            </w:pPr>
          </w:p>
          <w:p w:rsidR="00B84EAF" w:rsidRDefault="00000000">
            <w:pPr>
              <w:tabs>
                <w:tab w:val="left" w:pos="500"/>
              </w:tabs>
              <w:spacing w:after="156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UPS</w:t>
            </w:r>
            <w:r>
              <w:rPr>
                <w:rFonts w:ascii="宋体" w:hAnsi="宋体" w:hint="eastAsia"/>
              </w:rPr>
              <w:t>功能检查（放电时间</w:t>
            </w:r>
            <w:r>
              <w:rPr>
                <w:rFonts w:ascii="宋体" w:hAnsi="宋体" w:hint="eastAsia"/>
              </w:rPr>
              <w:t>&gt;3</w:t>
            </w:r>
            <w:r>
              <w:rPr>
                <w:rFonts w:ascii="宋体" w:hAnsi="宋体" w:hint="eastAsia"/>
              </w:rPr>
              <w:t>分钟）</w:t>
            </w:r>
          </w:p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（正常停机状态下，按下风机变频器的紧急停机按钮，断开</w:t>
            </w:r>
            <w:r>
              <w:rPr>
                <w:rFonts w:ascii="宋体" w:hAnsi="宋体" w:hint="eastAsia"/>
              </w:rPr>
              <w:t>ups</w:t>
            </w:r>
            <w:r>
              <w:rPr>
                <w:rFonts w:ascii="宋体" w:hAnsi="宋体" w:hint="eastAsia"/>
              </w:rPr>
              <w:t>的接线电源，检查</w:t>
            </w:r>
            <w:r>
              <w:rPr>
                <w:rFonts w:ascii="宋体" w:hAnsi="宋体" w:hint="eastAsia"/>
              </w:rPr>
              <w:t>ups</w:t>
            </w:r>
            <w:r>
              <w:rPr>
                <w:rFonts w:ascii="宋体" w:hAnsi="宋体" w:hint="eastAsia"/>
              </w:rPr>
              <w:t>是否能够立即切换，至少能够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分钟以上的供电输出</w:t>
            </w:r>
            <w:r>
              <w:rPr>
                <w:rFonts w:ascii="宋体" w:hAnsi="宋体"/>
              </w:rPr>
              <w:t>）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109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继电器外观、盖子、触头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各继电器铭牌清楚、盖子完好、无裂痕。触头位置正确，无抖动、烧毛、拉</w:t>
            </w:r>
            <w:proofErr w:type="gramStart"/>
            <w:r>
              <w:rPr>
                <w:rFonts w:ascii="宋体" w:hAnsi="宋体" w:hint="eastAsia"/>
              </w:rPr>
              <w:t>弧现象</w:t>
            </w:r>
            <w:proofErr w:type="gramEnd"/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通讯模块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检查源正常，收发信号灯正常（</w:t>
            </w:r>
            <w:proofErr w:type="spellStart"/>
            <w:r>
              <w:rPr>
                <w:rFonts w:ascii="宋体" w:hAnsi="宋体"/>
              </w:rPr>
              <w:t>LinK</w:t>
            </w:r>
            <w:proofErr w:type="spellEnd"/>
            <w:r>
              <w:rPr>
                <w:rFonts w:ascii="宋体" w:hAnsi="宋体" w:hint="eastAsia"/>
              </w:rPr>
              <w:t>灯亮、</w:t>
            </w:r>
            <w:r>
              <w:rPr>
                <w:rFonts w:ascii="宋体" w:hAnsi="宋体"/>
              </w:rPr>
              <w:t>PWR</w:t>
            </w:r>
            <w:r>
              <w:rPr>
                <w:rFonts w:ascii="宋体" w:hAnsi="宋体" w:hint="eastAsia"/>
              </w:rPr>
              <w:t>灯闪烁）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电流互感器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hint="eastAsia"/>
              </w:rPr>
              <w:t>外观检查瓷瓶无破损无裂痕，联管连接可靠。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变压器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运行无异常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加热器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运行无异常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补偿电容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hint="eastAsia"/>
              </w:rPr>
              <w:t>元件无膨胀现象，电容元件焊点牢靠，无松动过热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并网开关定转子接线铜牌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有无过热变色现象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并网开关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运行无异常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软件版本检查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系统查看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电缆表面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无磨损、老化、发热现象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119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塔筒门、塔壁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如有腐蚀，则立即按涂漆规范进行补救，检查机舱是否有裂纹，特别检查框架处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120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照明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无异常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121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导电轨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无松动、下沉、发热现象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122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爬梯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连接螺栓无松动现象，表面无油污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123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安全绳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连接螺栓无松动、脱落现象，钢丝绳无变形、</w:t>
            </w:r>
            <w:proofErr w:type="gramStart"/>
            <w:r>
              <w:rPr>
                <w:rFonts w:ascii="宋体" w:hAnsi="宋体" w:hint="eastAsia"/>
              </w:rPr>
              <w:t>断股现象</w:t>
            </w:r>
            <w:proofErr w:type="gramEnd"/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塔筒休息平台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螺栓无松动、平台无油污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125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pStyle w:val="ParaCharCharCharChar"/>
              <w:spacing w:after="15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灭火气瓶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pStyle w:val="ParaCharCharCharChar"/>
              <w:spacing w:after="15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表面无灰尘、无漏气，气瓶无锈蚀现象，气压正常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126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显示屏各参数整定值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无改动现象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并网开关整定值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无改动现象</w:t>
            </w:r>
          </w:p>
        </w:tc>
      </w:tr>
      <w:tr w:rsidR="00B84EAF">
        <w:trPr>
          <w:gridAfter w:val="1"/>
          <w:wAfter w:w="10" w:type="dxa"/>
          <w:jc w:val="center"/>
        </w:trPr>
        <w:tc>
          <w:tcPr>
            <w:tcW w:w="868" w:type="dxa"/>
            <w:gridSpan w:val="2"/>
            <w:vAlign w:val="center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128</w:t>
            </w:r>
          </w:p>
        </w:tc>
        <w:tc>
          <w:tcPr>
            <w:tcW w:w="3206" w:type="dxa"/>
            <w:vAlign w:val="center"/>
          </w:tcPr>
          <w:p w:rsidR="00B84EAF" w:rsidRDefault="00000000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控制柜内各种接触器跳闸电流整定值</w:t>
            </w:r>
          </w:p>
        </w:tc>
        <w:tc>
          <w:tcPr>
            <w:tcW w:w="1017" w:type="dxa"/>
          </w:tcPr>
          <w:p w:rsidR="00B84EAF" w:rsidRDefault="00000000">
            <w:pPr>
              <w:spacing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及以上</w:t>
            </w:r>
          </w:p>
        </w:tc>
        <w:tc>
          <w:tcPr>
            <w:tcW w:w="6096" w:type="dxa"/>
            <w:gridSpan w:val="2"/>
            <w:vAlign w:val="center"/>
          </w:tcPr>
          <w:p w:rsidR="00B84EAF" w:rsidRDefault="00000000">
            <w:pPr>
              <w:spacing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无改动现象</w:t>
            </w:r>
          </w:p>
        </w:tc>
      </w:tr>
    </w:tbl>
    <w:p w:rsidR="00B84EAF" w:rsidRDefault="00B84EAF">
      <w:pPr>
        <w:pStyle w:val="a3"/>
        <w:spacing w:after="156"/>
        <w:ind w:firstLineChars="0" w:firstLine="0"/>
        <w:rPr>
          <w:b/>
          <w:bCs/>
        </w:rPr>
      </w:pPr>
    </w:p>
    <w:p w:rsidR="00B84EAF" w:rsidRDefault="00000000">
      <w:pPr>
        <w:pStyle w:val="3"/>
        <w:spacing w:after="156"/>
        <w:rPr>
          <w:rFonts w:ascii="仿宋_GB2312" w:eastAsia="仿宋_GB2312" w:hAnsi="仿宋_GB2312" w:cs="仿宋_GB2312"/>
          <w:b/>
          <w:bCs w:val="0"/>
          <w:sz w:val="32"/>
        </w:rPr>
      </w:pPr>
      <w:r>
        <w:rPr>
          <w:rFonts w:ascii="仿宋_GB2312" w:eastAsia="仿宋_GB2312" w:hAnsi="仿宋_GB2312" w:cs="仿宋_GB2312" w:hint="eastAsia"/>
          <w:b/>
          <w:bCs w:val="0"/>
          <w:sz w:val="32"/>
        </w:rPr>
        <w:t>风力发电机组SCADA数据分析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通过对风力发电机组SCADA数据，分析风机机组时间可利用率，故障发生次数，故障发生累积时间，变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桨控制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稳定性，偏航误差等情况。</w:t>
      </w:r>
    </w:p>
    <w:p w:rsidR="00B84EAF" w:rsidRDefault="00000000">
      <w:pPr>
        <w:pStyle w:val="3"/>
        <w:spacing w:after="156"/>
      </w:pPr>
      <w:r>
        <w:rPr>
          <w:rFonts w:ascii="仿宋_GB2312" w:eastAsia="仿宋_GB2312" w:hAnsi="仿宋_GB2312" w:cs="仿宋_GB2312" w:hint="eastAsia"/>
          <w:b/>
          <w:bCs w:val="0"/>
          <w:sz w:val="32"/>
        </w:rPr>
        <w:t>风力功率曲线考核与对比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评估风力发电机组的功率曲线，并与风机技术协议中的保证功率曲线进行比对，判断是否满足风机技术协议中的要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求。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风电场历史发电量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风电场历史发电数据分析评估：风电场自投运以来的电量数据进行分析，并与风资源和发电量分析结果进行比对。</w:t>
      </w:r>
    </w:p>
    <w:p w:rsidR="00B84EAF" w:rsidRDefault="00000000">
      <w:pPr>
        <w:pStyle w:val="2"/>
        <w:spacing w:before="156" w:after="156"/>
        <w:rPr>
          <w:rFonts w:ascii="仿宋_GB2312" w:eastAsia="仿宋_GB2312" w:hAnsi="仿宋_GB2312" w:cs="仿宋_GB2312"/>
          <w:bCs w:val="0"/>
          <w:sz w:val="32"/>
        </w:rPr>
      </w:pPr>
      <w:r>
        <w:rPr>
          <w:rFonts w:ascii="黑体" w:eastAsia="黑体" w:hAnsi="黑体" w:cs="黑体" w:hint="eastAsia"/>
          <w:sz w:val="32"/>
        </w:rPr>
        <w:t>风电场历史限电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收集风电场自投运以来的限电情况，分析历史限电趋势。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一二次设备运行情况检查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一二次设备运行历史情况调查，包括线路、输变电设备、继电保护设备、无功补偿等设备的运行情况，故障记录的调查。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风电场运</w:t>
      </w:r>
      <w:proofErr w:type="gramStart"/>
      <w:r>
        <w:rPr>
          <w:rFonts w:ascii="黑体" w:eastAsia="黑体" w:hAnsi="黑体" w:cs="黑体" w:hint="eastAsia"/>
          <w:sz w:val="32"/>
        </w:rPr>
        <w:t>维情况</w:t>
      </w:r>
      <w:proofErr w:type="gramEnd"/>
      <w:r>
        <w:rPr>
          <w:rFonts w:ascii="黑体" w:eastAsia="黑体" w:hAnsi="黑体" w:cs="黑体" w:hint="eastAsia"/>
          <w:sz w:val="32"/>
        </w:rPr>
        <w:t>检查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风电场的运行维护情况检查，包括运行及设备台账、定值单、定检记录、技改计划及记录、备件更换记录、测风数据、发电数据等运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维记录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齐全。运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设置合理，运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培训，资质齐全。核查风机大部件损坏和更换记录。</w:t>
      </w:r>
    </w:p>
    <w:p w:rsidR="00B84EAF" w:rsidRDefault="00000000">
      <w:pPr>
        <w:pStyle w:val="2"/>
        <w:spacing w:before="156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技术</w:t>
      </w:r>
      <w:proofErr w:type="gramStart"/>
      <w:r>
        <w:rPr>
          <w:rFonts w:ascii="黑体" w:eastAsia="黑体" w:hAnsi="黑体" w:cs="黑体" w:hint="eastAsia"/>
          <w:sz w:val="32"/>
        </w:rPr>
        <w:t>尽调文件</w:t>
      </w:r>
      <w:proofErr w:type="gramEnd"/>
      <w:r>
        <w:rPr>
          <w:rFonts w:ascii="黑体" w:eastAsia="黑体" w:hAnsi="黑体" w:cs="黑体" w:hint="eastAsia"/>
          <w:sz w:val="32"/>
        </w:rPr>
        <w:t>和成果要求</w:t>
      </w:r>
    </w:p>
    <w:p w:rsidR="00B84EAF" w:rsidRDefault="00000000">
      <w:pPr>
        <w:pStyle w:val="a3"/>
        <w:spacing w:after="156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尽调实施方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应按要求提交技术尽职调查工作方案、人员安排、技术尽职调查报告等文件送技术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尽调委托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方审查，文件份数需满足审查工作需要。</w:t>
      </w:r>
    </w:p>
    <w:p w:rsidR="00B84EAF" w:rsidRDefault="00B84EAF">
      <w:pPr>
        <w:spacing w:after="156"/>
      </w:pPr>
    </w:p>
    <w:sectPr w:rsidR="00B84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3B5" w:rsidRDefault="005953B5" w:rsidP="00AB6C97">
      <w:pPr>
        <w:spacing w:after="120" w:line="240" w:lineRule="auto"/>
      </w:pPr>
      <w:r>
        <w:separator/>
      </w:r>
    </w:p>
  </w:endnote>
  <w:endnote w:type="continuationSeparator" w:id="0">
    <w:p w:rsidR="005953B5" w:rsidRDefault="005953B5" w:rsidP="00AB6C97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C97" w:rsidRDefault="00AB6C97">
    <w:pPr>
      <w:pStyle w:val="a7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C97" w:rsidRDefault="00AB6C97">
    <w:pPr>
      <w:pStyle w:val="a7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C97" w:rsidRDefault="00AB6C97">
    <w:pPr>
      <w:pStyle w:val="a7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3B5" w:rsidRDefault="005953B5" w:rsidP="00AB6C97">
      <w:pPr>
        <w:spacing w:after="120" w:line="240" w:lineRule="auto"/>
      </w:pPr>
      <w:r>
        <w:separator/>
      </w:r>
    </w:p>
  </w:footnote>
  <w:footnote w:type="continuationSeparator" w:id="0">
    <w:p w:rsidR="005953B5" w:rsidRDefault="005953B5" w:rsidP="00AB6C97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C97" w:rsidRDefault="00AB6C97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C97" w:rsidRDefault="00AB6C97">
    <w:pPr>
      <w:pStyle w:val="a5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C97" w:rsidRDefault="00AB6C97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BBE"/>
    <w:multiLevelType w:val="multilevel"/>
    <w:tmpl w:val="15A17BBE"/>
    <w:lvl w:ilvl="0">
      <w:start w:val="1"/>
      <w:numFmt w:val="decimal"/>
      <w:lvlText w:val="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11C3299"/>
    <w:multiLevelType w:val="multilevel"/>
    <w:tmpl w:val="611C329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7D0113"/>
    <w:multiLevelType w:val="multilevel"/>
    <w:tmpl w:val="797D0113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70608168">
    <w:abstractNumId w:val="2"/>
  </w:num>
  <w:num w:numId="2" w16cid:durableId="642123057">
    <w:abstractNumId w:val="0"/>
  </w:num>
  <w:num w:numId="3" w16cid:durableId="42677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F"/>
    <w:rsid w:val="000F220A"/>
    <w:rsid w:val="001E2097"/>
    <w:rsid w:val="00375836"/>
    <w:rsid w:val="004C7C9B"/>
    <w:rsid w:val="005953B5"/>
    <w:rsid w:val="00AB6C97"/>
    <w:rsid w:val="00B84EAF"/>
    <w:rsid w:val="0DD87183"/>
    <w:rsid w:val="2203349D"/>
    <w:rsid w:val="4490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9F17A"/>
  <w15:docId w15:val="{28BD9F99-7266-4E89-8C8F-26F30DC8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1" w:qFormat="1"/>
    <w:lsdException w:name="Subtitle" w:qFormat="1"/>
    <w:lsdException w:name="Salutation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afterLines="50" w:after="50" w:line="312" w:lineRule="auto"/>
      <w:jc w:val="both"/>
    </w:pPr>
    <w:rPr>
      <w:rFonts w:ascii="Arial" w:eastAsia="微软雅黑" w:hAnsi="Arial"/>
      <w:kern w:val="2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Lines="50" w:before="50"/>
      <w:ind w:left="431" w:hanging="431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Lines="50" w:before="50" w:line="288" w:lineRule="auto"/>
      <w:ind w:left="578" w:hanging="578"/>
      <w:jc w:val="left"/>
      <w:outlineLvl w:val="1"/>
    </w:pPr>
    <w:rPr>
      <w:rFonts w:cstheme="majorBidi"/>
      <w:bCs/>
      <w:sz w:val="24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line="240" w:lineRule="auto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1"/>
    <w:qFormat/>
    <w:pPr>
      <w:ind w:firstLineChars="200" w:firstLine="200"/>
    </w:pPr>
  </w:style>
  <w:style w:type="paragraph" w:styleId="a4">
    <w:name w:val="List Paragraph"/>
    <w:basedOn w:val="a"/>
    <w:uiPriority w:val="34"/>
    <w:qFormat/>
    <w:pPr>
      <w:widowControl/>
      <w:spacing w:before="80" w:afterLines="0" w:after="80" w:line="240" w:lineRule="auto"/>
      <w:ind w:left="720"/>
      <w:jc w:val="left"/>
    </w:pPr>
    <w:rPr>
      <w:rFonts w:ascii="Arial Narrow" w:hAnsi="Arial Narrow"/>
      <w:kern w:val="0"/>
      <w:szCs w:val="22"/>
    </w:rPr>
  </w:style>
  <w:style w:type="paragraph" w:customStyle="1" w:styleId="ParaCharCharCharChar">
    <w:name w:val="默认段落字体 Para Char Char Char Char"/>
    <w:basedOn w:val="a"/>
    <w:qFormat/>
    <w:pPr>
      <w:snapToGrid/>
      <w:spacing w:afterLines="0" w:after="0" w:line="240" w:lineRule="auto"/>
    </w:pPr>
    <w:rPr>
      <w:rFonts w:ascii="Times New Roman" w:eastAsia="宋体" w:hAnsi="Times New Roman" w:cs="Times New Roman"/>
      <w:sz w:val="32"/>
    </w:rPr>
  </w:style>
  <w:style w:type="paragraph" w:styleId="a5">
    <w:name w:val="header"/>
    <w:basedOn w:val="a"/>
    <w:link w:val="a6"/>
    <w:rsid w:val="00AB6C9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B6C97"/>
    <w:rPr>
      <w:rFonts w:ascii="Arial" w:eastAsia="微软雅黑" w:hAnsi="Arial"/>
      <w:kern w:val="2"/>
      <w:sz w:val="18"/>
      <w:szCs w:val="18"/>
    </w:rPr>
  </w:style>
  <w:style w:type="paragraph" w:styleId="a7">
    <w:name w:val="footer"/>
    <w:basedOn w:val="a"/>
    <w:link w:val="a8"/>
    <w:rsid w:val="00AB6C97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B6C97"/>
    <w:rPr>
      <w:rFonts w:ascii="Arial" w:eastAsia="微软雅黑" w:hAnsi="Arial"/>
      <w:kern w:val="2"/>
      <w:sz w:val="18"/>
      <w:szCs w:val="18"/>
    </w:rPr>
  </w:style>
  <w:style w:type="paragraph" w:styleId="a9">
    <w:name w:val="Salutation"/>
    <w:basedOn w:val="a"/>
    <w:next w:val="a"/>
    <w:link w:val="aa"/>
    <w:uiPriority w:val="99"/>
    <w:qFormat/>
    <w:rsid w:val="00375836"/>
    <w:pPr>
      <w:snapToGrid/>
      <w:spacing w:afterLines="0" w:after="0" w:line="240" w:lineRule="auto"/>
    </w:pPr>
    <w:rPr>
      <w:rFonts w:ascii="??" w:eastAsia="宋体" w:hAnsi="??" w:cs="宋体"/>
      <w:kern w:val="0"/>
      <w:sz w:val="28"/>
      <w:szCs w:val="28"/>
    </w:rPr>
  </w:style>
  <w:style w:type="character" w:customStyle="1" w:styleId="aa">
    <w:name w:val="称呼 字符"/>
    <w:basedOn w:val="a0"/>
    <w:link w:val="a9"/>
    <w:uiPriority w:val="99"/>
    <w:qFormat/>
    <w:rsid w:val="00375836"/>
    <w:rPr>
      <w:rFonts w:ascii="??" w:eastAsia="宋体" w:hAnsi="??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李 士麟</cp:lastModifiedBy>
  <cp:revision>4</cp:revision>
  <dcterms:created xsi:type="dcterms:W3CDTF">2022-10-31T05:52:00Z</dcterms:created>
  <dcterms:modified xsi:type="dcterms:W3CDTF">2022-11-02T02:13:00Z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